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4B" w:rsidRDefault="0008720E"/>
    <w:p w:rsidR="00DF7C10" w:rsidRPr="00DF7C10" w:rsidRDefault="00DF7C10" w:rsidP="00DF7C10">
      <w:pPr>
        <w:shd w:val="clear" w:color="auto" w:fill="FFFFFF"/>
        <w:spacing w:after="150" w:line="240" w:lineRule="auto"/>
        <w:outlineLvl w:val="0"/>
        <w:rPr>
          <w:rFonts w:eastAsia="Times New Roman" w:cstheme="minorHAnsi"/>
          <w:b/>
          <w:bCs/>
          <w:color w:val="C00000"/>
          <w:kern w:val="36"/>
          <w:sz w:val="42"/>
          <w:szCs w:val="42"/>
        </w:rPr>
      </w:pPr>
      <w:r w:rsidRPr="00DF7C10">
        <w:rPr>
          <w:rFonts w:eastAsia="Times New Roman" w:cstheme="minorHAnsi"/>
          <w:b/>
          <w:bCs/>
          <w:color w:val="C00000"/>
          <w:kern w:val="36"/>
          <w:sz w:val="42"/>
          <w:szCs w:val="42"/>
        </w:rPr>
        <w:t>Proper Lifting Techniques</w:t>
      </w:r>
    </w:p>
    <w:p w:rsidR="00DF7C10" w:rsidRDefault="00DF7C10" w:rsidP="00DF7C10">
      <w:pPr>
        <w:shd w:val="clear" w:color="auto" w:fill="FFFFFF"/>
        <w:spacing w:after="0" w:line="255" w:lineRule="atLeast"/>
        <w:rPr>
          <w:rFonts w:eastAsia="Times New Roman" w:cstheme="minorHAnsi"/>
          <w:b/>
          <w:bCs/>
          <w:color w:val="000000"/>
          <w:sz w:val="24"/>
          <w:szCs w:val="24"/>
          <w:bdr w:val="none" w:sz="0" w:space="0" w:color="auto" w:frame="1"/>
        </w:rPr>
      </w:pPr>
    </w:p>
    <w:p w:rsidR="00DF7C10" w:rsidRPr="00DF7C10" w:rsidRDefault="00DF7C10" w:rsidP="00DF7C10">
      <w:pPr>
        <w:shd w:val="clear" w:color="auto" w:fill="FFFFFF"/>
        <w:spacing w:after="0" w:line="255" w:lineRule="atLeast"/>
        <w:rPr>
          <w:rFonts w:eastAsia="Times New Roman" w:cstheme="minorHAnsi"/>
          <w:color w:val="000000"/>
          <w:sz w:val="28"/>
          <w:szCs w:val="28"/>
        </w:rPr>
      </w:pPr>
      <w:r w:rsidRPr="00DF7C10">
        <w:rPr>
          <w:rFonts w:eastAsia="Times New Roman" w:cstheme="minorHAnsi"/>
          <w:b/>
          <w:bCs/>
          <w:color w:val="000000"/>
          <w:sz w:val="28"/>
          <w:szCs w:val="28"/>
          <w:bdr w:val="none" w:sz="0" w:space="0" w:color="auto" w:frame="1"/>
        </w:rPr>
        <w:t>Introduction</w:t>
      </w:r>
    </w:p>
    <w:p w:rsidR="00DF7C10" w:rsidRPr="00DF7C10" w:rsidRDefault="00DF7C10" w:rsidP="00DF7C10">
      <w:pPr>
        <w:shd w:val="clear" w:color="auto" w:fill="FFFFFF"/>
        <w:spacing w:after="0" w:line="255" w:lineRule="atLeast"/>
        <w:rPr>
          <w:rFonts w:eastAsia="Times New Roman" w:cstheme="minorHAnsi"/>
          <w:color w:val="000000"/>
          <w:sz w:val="24"/>
          <w:szCs w:val="24"/>
        </w:rPr>
      </w:pPr>
      <w:r w:rsidRPr="00DF7C10">
        <w:rPr>
          <w:rFonts w:eastAsia="Times New Roman" w:cstheme="minorHAnsi"/>
          <w:color w:val="000000"/>
          <w:sz w:val="24"/>
          <w:szCs w:val="24"/>
        </w:rPr>
        <w:t>Preventing back injuries can be a major challenge for some employers. According to the Bureau of Labor Statistics (BLS), overexertion was the nation’s leading event or exposure leading to an injury or illness in the workplace, accounting for 34% of all workplace injuries or illnesses in 2013. BLS also showed that the back was the leading body part affected, making up 18.2% of total cases in 2013. Although no approach has completely eliminated back injuries, a substantial portion could be minimized by incorporating an effective control program along with an ergonomics analysis and design of work tasks.</w:t>
      </w:r>
    </w:p>
    <w:p w:rsidR="00DF7C10" w:rsidRPr="00DF7C10" w:rsidRDefault="00DF7C10" w:rsidP="00DF7C10">
      <w:pPr>
        <w:shd w:val="clear" w:color="auto" w:fill="FFFFFF"/>
        <w:spacing w:after="0" w:line="255" w:lineRule="atLeast"/>
        <w:rPr>
          <w:rFonts w:eastAsia="Times New Roman" w:cstheme="minorHAnsi"/>
          <w:color w:val="000000"/>
          <w:sz w:val="24"/>
          <w:szCs w:val="24"/>
        </w:rPr>
      </w:pPr>
    </w:p>
    <w:p w:rsidR="00DF7C10" w:rsidRPr="00DF7C10" w:rsidRDefault="00DF7C10" w:rsidP="00DF7C10">
      <w:pPr>
        <w:shd w:val="clear" w:color="auto" w:fill="FFFFFF"/>
        <w:spacing w:after="0" w:line="255" w:lineRule="atLeast"/>
        <w:rPr>
          <w:rFonts w:eastAsia="Times New Roman" w:cstheme="minorHAnsi"/>
          <w:color w:val="000000"/>
          <w:sz w:val="24"/>
          <w:szCs w:val="24"/>
        </w:rPr>
      </w:pPr>
      <w:r w:rsidRPr="00DF7C10">
        <w:rPr>
          <w:rFonts w:eastAsia="Times New Roman" w:cstheme="minorHAnsi"/>
          <w:color w:val="000000"/>
          <w:sz w:val="24"/>
          <w:szCs w:val="24"/>
        </w:rPr>
        <w:t>OSHA has evaluated ways to help prevent lifting injuries. It specifies two types of controls: engineering and administrative. Engineering controls are used to redesign the workstation to minimize lifting hazards. Administrative controls include carefully selecting and training workers so that they can perform their jobs safely.</w:t>
      </w:r>
    </w:p>
    <w:p w:rsidR="00DF7C10" w:rsidRPr="00DF7C10" w:rsidRDefault="00DF7C10" w:rsidP="00DF7C10">
      <w:pPr>
        <w:shd w:val="clear" w:color="auto" w:fill="FFFFFF"/>
        <w:spacing w:after="0" w:line="255" w:lineRule="atLeast"/>
        <w:rPr>
          <w:rFonts w:eastAsia="Times New Roman" w:cstheme="minorHAnsi"/>
          <w:color w:val="000000"/>
          <w:sz w:val="28"/>
          <w:szCs w:val="28"/>
        </w:rPr>
      </w:pPr>
    </w:p>
    <w:p w:rsidR="00DF7C10" w:rsidRPr="00DF7C10" w:rsidRDefault="00DF7C10" w:rsidP="00DF7C10">
      <w:pPr>
        <w:shd w:val="clear" w:color="auto" w:fill="FFFFFF"/>
        <w:spacing w:after="0" w:line="255" w:lineRule="atLeast"/>
        <w:rPr>
          <w:rFonts w:eastAsia="Times New Roman" w:cstheme="minorHAnsi"/>
          <w:color w:val="000000"/>
          <w:sz w:val="28"/>
          <w:szCs w:val="28"/>
        </w:rPr>
      </w:pPr>
      <w:r w:rsidRPr="00DF7C10">
        <w:rPr>
          <w:rFonts w:eastAsia="Times New Roman" w:cstheme="minorHAnsi"/>
          <w:b/>
          <w:bCs/>
          <w:color w:val="000000"/>
          <w:sz w:val="28"/>
          <w:szCs w:val="28"/>
          <w:bdr w:val="none" w:sz="0" w:space="0" w:color="auto" w:frame="1"/>
        </w:rPr>
        <w:t>Suggested engineering controls include:</w:t>
      </w:r>
    </w:p>
    <w:p w:rsidR="00DF7C10" w:rsidRPr="00DF7C10" w:rsidRDefault="00DF7C10" w:rsidP="00DF7C10">
      <w:pPr>
        <w:numPr>
          <w:ilvl w:val="0"/>
          <w:numId w:val="1"/>
        </w:numPr>
        <w:shd w:val="clear" w:color="auto" w:fill="FFFFFF"/>
        <w:spacing w:after="150" w:line="255" w:lineRule="atLeast"/>
        <w:ind w:left="0"/>
        <w:rPr>
          <w:rFonts w:eastAsia="Times New Roman" w:cstheme="minorHAnsi"/>
          <w:color w:val="000000"/>
          <w:sz w:val="24"/>
          <w:szCs w:val="24"/>
        </w:rPr>
      </w:pPr>
      <w:r w:rsidRPr="00DF7C10">
        <w:rPr>
          <w:rFonts w:eastAsia="Times New Roman" w:cstheme="minorHAnsi"/>
          <w:color w:val="000000"/>
          <w:sz w:val="24"/>
          <w:szCs w:val="24"/>
        </w:rPr>
        <w:t>Redesigning the weight being lifted to help make it easier to lift the item with the presence of handles, use of baskets and the stability of the package being handled.</w:t>
      </w:r>
    </w:p>
    <w:p w:rsidR="00DF7C10" w:rsidRPr="00DF7C10" w:rsidRDefault="00DF7C10" w:rsidP="00DF7C10">
      <w:pPr>
        <w:numPr>
          <w:ilvl w:val="0"/>
          <w:numId w:val="1"/>
        </w:numPr>
        <w:shd w:val="clear" w:color="auto" w:fill="FFFFFF"/>
        <w:spacing w:after="150" w:line="255" w:lineRule="atLeast"/>
        <w:ind w:left="0"/>
        <w:rPr>
          <w:rFonts w:eastAsia="Times New Roman" w:cstheme="minorHAnsi"/>
          <w:color w:val="000000"/>
          <w:sz w:val="24"/>
          <w:szCs w:val="24"/>
        </w:rPr>
      </w:pPr>
      <w:r w:rsidRPr="00DF7C10">
        <w:rPr>
          <w:rFonts w:eastAsia="Times New Roman" w:cstheme="minorHAnsi"/>
          <w:color w:val="000000"/>
          <w:sz w:val="24"/>
          <w:szCs w:val="24"/>
        </w:rPr>
        <w:t>Adjusting the height of the object being moved.</w:t>
      </w:r>
    </w:p>
    <w:p w:rsidR="00DF7C10" w:rsidRPr="00DF7C10" w:rsidRDefault="00DF7C10" w:rsidP="00DF7C10">
      <w:pPr>
        <w:numPr>
          <w:ilvl w:val="0"/>
          <w:numId w:val="1"/>
        </w:numPr>
        <w:shd w:val="clear" w:color="auto" w:fill="FFFFFF"/>
        <w:spacing w:after="150" w:line="255" w:lineRule="atLeast"/>
        <w:ind w:left="0"/>
        <w:rPr>
          <w:rFonts w:eastAsia="Times New Roman" w:cstheme="minorHAnsi"/>
          <w:color w:val="000000"/>
          <w:sz w:val="24"/>
          <w:szCs w:val="24"/>
        </w:rPr>
      </w:pPr>
      <w:r w:rsidRPr="00DF7C10">
        <w:rPr>
          <w:rFonts w:eastAsia="Times New Roman" w:cstheme="minorHAnsi"/>
          <w:color w:val="000000"/>
          <w:sz w:val="24"/>
          <w:szCs w:val="24"/>
        </w:rPr>
        <w:t>Installing mechanical aids such as pneumatic lifts, conveyors and/or automated material handling equipment.</w:t>
      </w:r>
    </w:p>
    <w:p w:rsidR="00DF7C10" w:rsidRPr="00DF7C10" w:rsidRDefault="00DF7C10" w:rsidP="00DF7C10">
      <w:pPr>
        <w:shd w:val="clear" w:color="auto" w:fill="FFFFFF"/>
        <w:spacing w:after="0" w:line="255" w:lineRule="atLeast"/>
        <w:rPr>
          <w:rFonts w:eastAsia="Times New Roman" w:cstheme="minorHAnsi"/>
          <w:color w:val="000000"/>
          <w:sz w:val="28"/>
          <w:szCs w:val="28"/>
        </w:rPr>
      </w:pPr>
      <w:r w:rsidRPr="00DF7C10">
        <w:rPr>
          <w:rFonts w:eastAsia="Times New Roman" w:cstheme="minorHAnsi"/>
          <w:b/>
          <w:bCs/>
          <w:color w:val="000000"/>
          <w:sz w:val="28"/>
          <w:szCs w:val="28"/>
          <w:bdr w:val="none" w:sz="0" w:space="0" w:color="auto" w:frame="1"/>
        </w:rPr>
        <w:t>Suggested administrative controls include:</w:t>
      </w:r>
    </w:p>
    <w:p w:rsidR="00DF7C10" w:rsidRPr="00DF7C10" w:rsidRDefault="00DF7C10" w:rsidP="00DF7C10">
      <w:pPr>
        <w:numPr>
          <w:ilvl w:val="0"/>
          <w:numId w:val="2"/>
        </w:numPr>
        <w:shd w:val="clear" w:color="auto" w:fill="FFFFFF"/>
        <w:spacing w:after="150" w:line="255" w:lineRule="atLeast"/>
        <w:ind w:left="0"/>
        <w:rPr>
          <w:rFonts w:eastAsia="Times New Roman" w:cstheme="minorHAnsi"/>
          <w:color w:val="000000"/>
          <w:sz w:val="24"/>
          <w:szCs w:val="24"/>
        </w:rPr>
      </w:pPr>
      <w:r w:rsidRPr="00DF7C10">
        <w:rPr>
          <w:rFonts w:eastAsia="Times New Roman" w:cstheme="minorHAnsi"/>
          <w:color w:val="000000"/>
          <w:sz w:val="24"/>
          <w:szCs w:val="24"/>
        </w:rPr>
        <w:t>Strength testing of existing workers: Studies have shown strength testing can prevent up to one-third of all work-related injuries. Through the strength-testing process, employers can discourage employees from performing tasks that exceed their strength capacities.</w:t>
      </w:r>
    </w:p>
    <w:p w:rsidR="00DF7C10" w:rsidRPr="00DF7C10" w:rsidRDefault="00DF7C10" w:rsidP="00DF7C10">
      <w:pPr>
        <w:numPr>
          <w:ilvl w:val="0"/>
          <w:numId w:val="2"/>
        </w:numPr>
        <w:shd w:val="clear" w:color="auto" w:fill="FFFFFF"/>
        <w:spacing w:after="150" w:line="255" w:lineRule="atLeast"/>
        <w:ind w:left="0"/>
        <w:rPr>
          <w:rFonts w:eastAsia="Times New Roman" w:cstheme="minorHAnsi"/>
          <w:color w:val="000000"/>
          <w:sz w:val="24"/>
          <w:szCs w:val="24"/>
        </w:rPr>
      </w:pPr>
      <w:r w:rsidRPr="00DF7C10">
        <w:rPr>
          <w:rFonts w:eastAsia="Times New Roman" w:cstheme="minorHAnsi"/>
          <w:color w:val="000000"/>
          <w:sz w:val="24"/>
          <w:szCs w:val="24"/>
        </w:rPr>
        <w:t>Physical conditioning or stretching programs: These programs are implemented to reduce the risk of muscle strain.</w:t>
      </w:r>
    </w:p>
    <w:p w:rsidR="00DF7C10" w:rsidRPr="00DF7C10" w:rsidRDefault="00DF7C10" w:rsidP="00DF7C10">
      <w:pPr>
        <w:numPr>
          <w:ilvl w:val="0"/>
          <w:numId w:val="2"/>
        </w:numPr>
        <w:shd w:val="clear" w:color="auto" w:fill="FFFFFF"/>
        <w:spacing w:after="150" w:line="255" w:lineRule="atLeast"/>
        <w:ind w:left="0"/>
        <w:rPr>
          <w:rFonts w:eastAsia="Times New Roman" w:cstheme="minorHAnsi"/>
          <w:color w:val="000000"/>
          <w:sz w:val="24"/>
          <w:szCs w:val="24"/>
        </w:rPr>
      </w:pPr>
      <w:r w:rsidRPr="00DF7C10">
        <w:rPr>
          <w:rFonts w:eastAsia="Times New Roman" w:cstheme="minorHAnsi"/>
          <w:color w:val="000000"/>
          <w:sz w:val="24"/>
          <w:szCs w:val="24"/>
        </w:rPr>
        <w:t>Training: Employees should be trained to utilize proper lifting techniques that place minimum stress on the lower back.</w:t>
      </w:r>
    </w:p>
    <w:p w:rsidR="00DF7C10" w:rsidRPr="00DF7C10" w:rsidRDefault="00DF7C10" w:rsidP="00DF7C10">
      <w:pPr>
        <w:shd w:val="clear" w:color="auto" w:fill="FFFFFF"/>
        <w:spacing w:after="0" w:line="255" w:lineRule="atLeast"/>
        <w:rPr>
          <w:rFonts w:eastAsia="Times New Roman" w:cstheme="minorHAnsi"/>
          <w:color w:val="000000"/>
          <w:sz w:val="24"/>
          <w:szCs w:val="24"/>
        </w:rPr>
      </w:pPr>
    </w:p>
    <w:p w:rsidR="00DF7C10" w:rsidRPr="00DF7C10" w:rsidRDefault="00DF7C10" w:rsidP="00DF7C10">
      <w:pPr>
        <w:shd w:val="clear" w:color="auto" w:fill="FFFFFF"/>
        <w:spacing w:after="0" w:line="255" w:lineRule="atLeast"/>
        <w:rPr>
          <w:rFonts w:eastAsia="Times New Roman" w:cstheme="minorHAnsi"/>
          <w:color w:val="000000"/>
          <w:sz w:val="20"/>
          <w:szCs w:val="20"/>
        </w:rPr>
      </w:pPr>
    </w:p>
    <w:p w:rsidR="00DF7C10" w:rsidRPr="00DF7C10" w:rsidRDefault="00DF7C10" w:rsidP="00DF7C10">
      <w:pPr>
        <w:shd w:val="clear" w:color="auto" w:fill="FFFFFF"/>
        <w:spacing w:after="0" w:line="255" w:lineRule="atLeast"/>
        <w:rPr>
          <w:rFonts w:eastAsia="Times New Roman" w:cstheme="minorHAnsi"/>
          <w:color w:val="000000"/>
          <w:sz w:val="20"/>
          <w:szCs w:val="20"/>
        </w:rPr>
      </w:pPr>
    </w:p>
    <w:p w:rsidR="00DF7C10" w:rsidRPr="00DF7C10" w:rsidRDefault="00DF7C10" w:rsidP="00DF7C10">
      <w:pPr>
        <w:shd w:val="clear" w:color="auto" w:fill="FFFFFF"/>
        <w:spacing w:after="0" w:line="255" w:lineRule="atLeast"/>
        <w:rPr>
          <w:rFonts w:eastAsia="Times New Roman" w:cstheme="minorHAnsi"/>
          <w:color w:val="000000"/>
          <w:sz w:val="20"/>
          <w:szCs w:val="20"/>
        </w:rPr>
      </w:pPr>
    </w:p>
    <w:p w:rsidR="00DF7C10" w:rsidRPr="00DF7C10" w:rsidRDefault="00DF7C10" w:rsidP="00DF7C10">
      <w:pPr>
        <w:shd w:val="clear" w:color="auto" w:fill="FFFFFF"/>
        <w:spacing w:after="0" w:line="255" w:lineRule="atLeast"/>
        <w:rPr>
          <w:rFonts w:eastAsia="Times New Roman" w:cstheme="minorHAnsi"/>
          <w:color w:val="000000"/>
          <w:sz w:val="20"/>
          <w:szCs w:val="20"/>
        </w:rPr>
      </w:pPr>
    </w:p>
    <w:p w:rsidR="00DF7C10" w:rsidRPr="00DF7C10" w:rsidRDefault="00DF7C10" w:rsidP="00DF7C10">
      <w:pPr>
        <w:shd w:val="clear" w:color="auto" w:fill="FFFFFF"/>
        <w:spacing w:after="0" w:line="255" w:lineRule="atLeast"/>
        <w:rPr>
          <w:rFonts w:eastAsia="Times New Roman" w:cstheme="minorHAnsi"/>
          <w:color w:val="000000"/>
          <w:sz w:val="20"/>
          <w:szCs w:val="20"/>
        </w:rPr>
      </w:pPr>
    </w:p>
    <w:p w:rsidR="00DF7C10" w:rsidRPr="00DF7C10" w:rsidRDefault="00DF7C10" w:rsidP="00DF7C10">
      <w:pPr>
        <w:shd w:val="clear" w:color="auto" w:fill="FFFFFF"/>
        <w:spacing w:after="0" w:line="255" w:lineRule="atLeast"/>
        <w:rPr>
          <w:rFonts w:eastAsia="Times New Roman" w:cstheme="minorHAnsi"/>
          <w:color w:val="000000"/>
          <w:sz w:val="20"/>
          <w:szCs w:val="20"/>
        </w:rPr>
      </w:pPr>
    </w:p>
    <w:p w:rsidR="00DF7C10" w:rsidRPr="00DF7C10" w:rsidRDefault="00DF7C10" w:rsidP="00DF7C10">
      <w:pPr>
        <w:shd w:val="clear" w:color="auto" w:fill="FFFFFF"/>
        <w:spacing w:after="0" w:line="255" w:lineRule="atLeast"/>
        <w:rPr>
          <w:rFonts w:eastAsia="Times New Roman" w:cstheme="minorHAnsi"/>
          <w:color w:val="000000"/>
          <w:sz w:val="20"/>
          <w:szCs w:val="20"/>
        </w:rPr>
      </w:pPr>
    </w:p>
    <w:p w:rsidR="00DF7C10" w:rsidRPr="00DF7C10" w:rsidRDefault="00DF7C10" w:rsidP="00DF7C10">
      <w:pPr>
        <w:shd w:val="clear" w:color="auto" w:fill="FFFFFF"/>
        <w:spacing w:after="0" w:line="255" w:lineRule="atLeast"/>
        <w:rPr>
          <w:rFonts w:eastAsia="Times New Roman" w:cstheme="minorHAnsi"/>
          <w:color w:val="000000"/>
          <w:sz w:val="20"/>
          <w:szCs w:val="20"/>
        </w:rPr>
      </w:pPr>
      <w:bookmarkStart w:id="0" w:name="_GoBack"/>
      <w:bookmarkEnd w:id="0"/>
    </w:p>
    <w:p w:rsidR="00DF7C10" w:rsidRPr="00DF7C10" w:rsidRDefault="00DF7C10" w:rsidP="00DF7C10">
      <w:pPr>
        <w:shd w:val="clear" w:color="auto" w:fill="FFFFFF"/>
        <w:spacing w:after="0" w:line="255" w:lineRule="atLeast"/>
        <w:rPr>
          <w:rFonts w:eastAsia="Times New Roman" w:cstheme="minorHAnsi"/>
          <w:color w:val="000000"/>
          <w:sz w:val="20"/>
          <w:szCs w:val="20"/>
        </w:rPr>
      </w:pPr>
    </w:p>
    <w:p w:rsidR="00DF7C10" w:rsidRPr="00DF7C10" w:rsidRDefault="00DF7C10" w:rsidP="00DF7C10">
      <w:pPr>
        <w:shd w:val="clear" w:color="auto" w:fill="FFFFFF"/>
        <w:spacing w:after="0" w:line="255" w:lineRule="atLeast"/>
        <w:rPr>
          <w:rFonts w:eastAsia="Times New Roman" w:cstheme="minorHAnsi"/>
          <w:b/>
          <w:color w:val="C00000"/>
          <w:sz w:val="28"/>
          <w:szCs w:val="28"/>
        </w:rPr>
      </w:pPr>
      <w:hyperlink r:id="rId6" w:history="1">
        <w:r w:rsidRPr="00DF7C10">
          <w:rPr>
            <w:rFonts w:eastAsia="Times New Roman" w:cstheme="minorHAnsi"/>
            <w:b/>
            <w:color w:val="C00000"/>
            <w:sz w:val="28"/>
            <w:szCs w:val="28"/>
            <w:bdr w:val="none" w:sz="0" w:space="0" w:color="auto" w:frame="1"/>
          </w:rPr>
          <w:t>How to Lift Safely</w:t>
        </w:r>
      </w:hyperlink>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color w:val="000000"/>
          <w:sz w:val="20"/>
          <w:szCs w:val="20"/>
        </w:rPr>
        <w:t>Before lifting, take a moment to think about what you are about to do. Examine the object for sharp corners, slippery spots or other potential hazards. Know your limit and do not try to exceed it. Ask for help if needed. Or if possible, divide the load to make it lighter. Know where you are going to set the item down and make sure the destination and your path are free of obstructions. Then follow these steps.</w:t>
      </w: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color w:val="000000"/>
          <w:sz w:val="20"/>
          <w:szCs w:val="20"/>
        </w:rPr>
        <w:t> </w:t>
      </w:r>
    </w:p>
    <w:tbl>
      <w:tblPr>
        <w:tblW w:w="7665" w:type="dxa"/>
        <w:tblCellMar>
          <w:left w:w="0" w:type="dxa"/>
          <w:right w:w="0" w:type="dxa"/>
        </w:tblCellMar>
        <w:tblLook w:val="04A0" w:firstRow="1" w:lastRow="0" w:firstColumn="1" w:lastColumn="0" w:noHBand="0" w:noVBand="1"/>
      </w:tblPr>
      <w:tblGrid>
        <w:gridCol w:w="3525"/>
        <w:gridCol w:w="4140"/>
      </w:tblGrid>
      <w:tr w:rsidR="00DF7C10" w:rsidRPr="00DF7C10" w:rsidTr="00DF7C10">
        <w:tc>
          <w:tcPr>
            <w:tcW w:w="3240" w:type="dxa"/>
            <w:tcBorders>
              <w:top w:val="nil"/>
              <w:left w:val="nil"/>
              <w:bottom w:val="nil"/>
              <w:right w:val="nil"/>
            </w:tcBorders>
            <w:tcMar>
              <w:top w:w="150" w:type="dxa"/>
              <w:left w:w="150" w:type="dxa"/>
              <w:bottom w:w="150" w:type="dxa"/>
              <w:right w:w="75" w:type="dxa"/>
            </w:tcMar>
            <w:vAlign w:val="center"/>
            <w:hideMark/>
          </w:tcPr>
          <w:p w:rsidR="00DF7C10" w:rsidRPr="00DF7C10" w:rsidRDefault="00DF7C10" w:rsidP="00DF7C10">
            <w:pPr>
              <w:spacing w:after="0" w:line="240" w:lineRule="auto"/>
              <w:ind w:left="30" w:right="30"/>
              <w:rPr>
                <w:rFonts w:eastAsia="Times New Roman" w:cstheme="minorHAnsi"/>
                <w:color w:val="000000"/>
                <w:sz w:val="18"/>
                <w:szCs w:val="18"/>
              </w:rPr>
            </w:pPr>
            <w:r w:rsidRPr="00DF7C10">
              <w:rPr>
                <w:rFonts w:eastAsia="Times New Roman" w:cstheme="minorHAnsi"/>
                <w:noProof/>
                <w:color w:val="000000"/>
                <w:sz w:val="18"/>
                <w:szCs w:val="18"/>
              </w:rPr>
              <w:drawing>
                <wp:inline distT="0" distB="0" distL="0" distR="0" wp14:anchorId="22A12699" wp14:editId="1B5270EF">
                  <wp:extent cx="1733550" cy="1981200"/>
                  <wp:effectExtent l="0" t="0" r="0" b="0"/>
                  <wp:docPr id="5" name="Picture 5" descr="Figur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981200"/>
                          </a:xfrm>
                          <a:prstGeom prst="rect">
                            <a:avLst/>
                          </a:prstGeom>
                          <a:noFill/>
                          <a:ln>
                            <a:noFill/>
                          </a:ln>
                        </pic:spPr>
                      </pic:pic>
                    </a:graphicData>
                  </a:graphic>
                </wp:inline>
              </w:drawing>
            </w:r>
          </w:p>
        </w:tc>
        <w:tc>
          <w:tcPr>
            <w:tcW w:w="9075" w:type="dxa"/>
            <w:tcBorders>
              <w:top w:val="nil"/>
              <w:left w:val="nil"/>
              <w:bottom w:val="nil"/>
              <w:right w:val="nil"/>
            </w:tcBorders>
            <w:tcMar>
              <w:top w:w="150" w:type="dxa"/>
              <w:left w:w="75" w:type="dxa"/>
              <w:bottom w:w="150" w:type="dxa"/>
              <w:right w:w="75" w:type="dxa"/>
            </w:tcMar>
            <w:vAlign w:val="center"/>
            <w:hideMark/>
          </w:tcPr>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1. Stand close to the load with your feet spread shoulder width apart. One foot should be slightly in front of the other for balance.</w:t>
            </w:r>
          </w:p>
        </w:tc>
      </w:tr>
      <w:tr w:rsidR="00DF7C10" w:rsidRPr="00DF7C10" w:rsidTr="00DF7C10">
        <w:tc>
          <w:tcPr>
            <w:tcW w:w="0" w:type="auto"/>
            <w:tcBorders>
              <w:top w:val="nil"/>
              <w:left w:val="nil"/>
              <w:bottom w:val="nil"/>
              <w:right w:val="nil"/>
            </w:tcBorders>
            <w:tcMar>
              <w:top w:w="150" w:type="dxa"/>
              <w:left w:w="150" w:type="dxa"/>
              <w:bottom w:w="150" w:type="dxa"/>
              <w:right w:w="75" w:type="dxa"/>
            </w:tcMar>
            <w:vAlign w:val="center"/>
            <w:hideMark/>
          </w:tcPr>
          <w:p w:rsidR="00DF7C10" w:rsidRPr="00DF7C10" w:rsidRDefault="00DF7C10" w:rsidP="00DF7C10">
            <w:pPr>
              <w:spacing w:after="0" w:line="240" w:lineRule="auto"/>
              <w:ind w:left="30" w:right="30"/>
              <w:rPr>
                <w:rFonts w:eastAsia="Times New Roman" w:cstheme="minorHAnsi"/>
                <w:color w:val="000000"/>
                <w:sz w:val="18"/>
                <w:szCs w:val="18"/>
              </w:rPr>
            </w:pPr>
            <w:r w:rsidRPr="00DF7C10">
              <w:rPr>
                <w:rFonts w:eastAsia="Times New Roman" w:cstheme="minorHAnsi"/>
                <w:noProof/>
                <w:color w:val="000000"/>
                <w:sz w:val="18"/>
                <w:szCs w:val="18"/>
              </w:rPr>
              <w:drawing>
                <wp:inline distT="0" distB="0" distL="0" distR="0" wp14:anchorId="44C340E3" wp14:editId="119D29EC">
                  <wp:extent cx="2057400" cy="2314575"/>
                  <wp:effectExtent l="0" t="0" r="0" b="9525"/>
                  <wp:docPr id="4" name="Picture 4" descr="Figu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314575"/>
                          </a:xfrm>
                          <a:prstGeom prst="rect">
                            <a:avLst/>
                          </a:prstGeom>
                          <a:noFill/>
                          <a:ln>
                            <a:noFill/>
                          </a:ln>
                        </pic:spPr>
                      </pic:pic>
                    </a:graphicData>
                  </a:graphic>
                </wp:inline>
              </w:drawing>
            </w:r>
          </w:p>
        </w:tc>
        <w:tc>
          <w:tcPr>
            <w:tcW w:w="0" w:type="auto"/>
            <w:tcBorders>
              <w:top w:val="nil"/>
              <w:left w:val="nil"/>
              <w:bottom w:val="nil"/>
              <w:right w:val="nil"/>
            </w:tcBorders>
            <w:tcMar>
              <w:top w:w="150" w:type="dxa"/>
              <w:left w:w="75" w:type="dxa"/>
              <w:bottom w:w="150" w:type="dxa"/>
              <w:right w:w="75" w:type="dxa"/>
            </w:tcMar>
            <w:vAlign w:val="center"/>
            <w:hideMark/>
          </w:tcPr>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2. Squat down, bending at the knees (not your waist). Tuck your chin while keeping your back as vertical as possible.</w:t>
            </w:r>
          </w:p>
        </w:tc>
      </w:tr>
      <w:tr w:rsidR="00DF7C10" w:rsidRPr="00DF7C10" w:rsidTr="00DF7C10">
        <w:tc>
          <w:tcPr>
            <w:tcW w:w="0" w:type="auto"/>
            <w:tcBorders>
              <w:top w:val="nil"/>
              <w:left w:val="nil"/>
              <w:bottom w:val="nil"/>
              <w:right w:val="nil"/>
            </w:tcBorders>
            <w:tcMar>
              <w:top w:w="150" w:type="dxa"/>
              <w:left w:w="150" w:type="dxa"/>
              <w:bottom w:w="150" w:type="dxa"/>
              <w:right w:w="75" w:type="dxa"/>
            </w:tcMar>
            <w:vAlign w:val="center"/>
            <w:hideMark/>
          </w:tcPr>
          <w:p w:rsidR="00DF7C10" w:rsidRPr="00DF7C10" w:rsidRDefault="00DF7C10" w:rsidP="00DF7C10">
            <w:pPr>
              <w:spacing w:after="0" w:line="240" w:lineRule="auto"/>
              <w:ind w:left="30" w:right="30"/>
              <w:rPr>
                <w:rFonts w:eastAsia="Times New Roman" w:cstheme="minorHAnsi"/>
                <w:color w:val="000000"/>
                <w:sz w:val="18"/>
                <w:szCs w:val="18"/>
              </w:rPr>
            </w:pPr>
            <w:r w:rsidRPr="00DF7C10">
              <w:rPr>
                <w:rFonts w:eastAsia="Times New Roman" w:cstheme="minorHAnsi"/>
                <w:noProof/>
                <w:color w:val="000000"/>
                <w:sz w:val="18"/>
                <w:szCs w:val="18"/>
              </w:rPr>
              <w:lastRenderedPageBreak/>
              <w:drawing>
                <wp:inline distT="0" distB="0" distL="0" distR="0" wp14:anchorId="555DF3F6" wp14:editId="10650B2C">
                  <wp:extent cx="1714500" cy="2390775"/>
                  <wp:effectExtent l="0" t="0" r="0" b="9525"/>
                  <wp:docPr id="3" name="Picture 3" descr="Figur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390775"/>
                          </a:xfrm>
                          <a:prstGeom prst="rect">
                            <a:avLst/>
                          </a:prstGeom>
                          <a:noFill/>
                          <a:ln>
                            <a:noFill/>
                          </a:ln>
                        </pic:spPr>
                      </pic:pic>
                    </a:graphicData>
                  </a:graphic>
                </wp:inline>
              </w:drawing>
            </w:r>
          </w:p>
        </w:tc>
        <w:tc>
          <w:tcPr>
            <w:tcW w:w="0" w:type="auto"/>
            <w:tcBorders>
              <w:top w:val="nil"/>
              <w:left w:val="nil"/>
              <w:bottom w:val="nil"/>
              <w:right w:val="nil"/>
            </w:tcBorders>
            <w:tcMar>
              <w:top w:w="150" w:type="dxa"/>
              <w:left w:w="75" w:type="dxa"/>
              <w:bottom w:w="150" w:type="dxa"/>
              <w:right w:w="75" w:type="dxa"/>
            </w:tcMar>
            <w:vAlign w:val="center"/>
            <w:hideMark/>
          </w:tcPr>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3. Get a firm grasp of the object before beginning the lift.</w:t>
            </w:r>
          </w:p>
        </w:tc>
      </w:tr>
      <w:tr w:rsidR="00DF7C10" w:rsidRPr="00DF7C10" w:rsidTr="00DF7C10">
        <w:tc>
          <w:tcPr>
            <w:tcW w:w="0" w:type="auto"/>
            <w:tcBorders>
              <w:top w:val="nil"/>
              <w:left w:val="nil"/>
              <w:bottom w:val="nil"/>
              <w:right w:val="nil"/>
            </w:tcBorders>
            <w:tcMar>
              <w:top w:w="150" w:type="dxa"/>
              <w:left w:w="150" w:type="dxa"/>
              <w:bottom w:w="150" w:type="dxa"/>
              <w:right w:w="75" w:type="dxa"/>
            </w:tcMar>
            <w:vAlign w:val="center"/>
            <w:hideMark/>
          </w:tcPr>
          <w:p w:rsidR="00DF7C10" w:rsidRPr="00DF7C10" w:rsidRDefault="00DF7C10" w:rsidP="00DF7C10">
            <w:pPr>
              <w:spacing w:after="0" w:line="240" w:lineRule="auto"/>
              <w:ind w:left="30" w:right="30"/>
              <w:rPr>
                <w:rFonts w:eastAsia="Times New Roman" w:cstheme="minorHAnsi"/>
                <w:color w:val="000000"/>
                <w:sz w:val="18"/>
                <w:szCs w:val="18"/>
              </w:rPr>
            </w:pPr>
            <w:r w:rsidRPr="00DF7C10">
              <w:rPr>
                <w:rFonts w:eastAsia="Times New Roman" w:cstheme="minorHAnsi"/>
                <w:noProof/>
                <w:color w:val="000000"/>
                <w:sz w:val="18"/>
                <w:szCs w:val="18"/>
              </w:rPr>
              <w:drawing>
                <wp:inline distT="0" distB="0" distL="0" distR="0" wp14:anchorId="0F6A528E" wp14:editId="7CEDD492">
                  <wp:extent cx="1590675" cy="2781300"/>
                  <wp:effectExtent l="0" t="0" r="9525" b="0"/>
                  <wp:docPr id="2" name="Picture 2" descr="Figure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2781300"/>
                          </a:xfrm>
                          <a:prstGeom prst="rect">
                            <a:avLst/>
                          </a:prstGeom>
                          <a:noFill/>
                          <a:ln>
                            <a:noFill/>
                          </a:ln>
                        </pic:spPr>
                      </pic:pic>
                    </a:graphicData>
                  </a:graphic>
                </wp:inline>
              </w:drawing>
            </w:r>
          </w:p>
        </w:tc>
        <w:tc>
          <w:tcPr>
            <w:tcW w:w="0" w:type="auto"/>
            <w:tcBorders>
              <w:top w:val="nil"/>
              <w:left w:val="nil"/>
              <w:bottom w:val="nil"/>
              <w:right w:val="nil"/>
            </w:tcBorders>
            <w:tcMar>
              <w:top w:w="150" w:type="dxa"/>
              <w:left w:w="75" w:type="dxa"/>
              <w:bottom w:w="150" w:type="dxa"/>
              <w:right w:w="75" w:type="dxa"/>
            </w:tcMar>
            <w:vAlign w:val="center"/>
            <w:hideMark/>
          </w:tcPr>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4. Slowly begin straightening your legs, lifting slowly. Never twist your body during this step.</w:t>
            </w:r>
          </w:p>
        </w:tc>
      </w:tr>
      <w:tr w:rsidR="00DF7C10" w:rsidRPr="00DF7C10" w:rsidTr="00DF7C10">
        <w:tc>
          <w:tcPr>
            <w:tcW w:w="0" w:type="auto"/>
            <w:tcBorders>
              <w:top w:val="nil"/>
              <w:left w:val="nil"/>
              <w:bottom w:val="nil"/>
              <w:right w:val="nil"/>
            </w:tcBorders>
            <w:tcMar>
              <w:top w:w="150" w:type="dxa"/>
              <w:left w:w="150" w:type="dxa"/>
              <w:bottom w:w="150" w:type="dxa"/>
              <w:right w:w="75" w:type="dxa"/>
            </w:tcMar>
            <w:vAlign w:val="center"/>
            <w:hideMark/>
          </w:tcPr>
          <w:p w:rsidR="00DF7C10" w:rsidRPr="00DF7C10" w:rsidRDefault="00DF7C10" w:rsidP="00DF7C10">
            <w:pPr>
              <w:spacing w:after="0" w:line="240" w:lineRule="auto"/>
              <w:ind w:left="30" w:right="30"/>
              <w:rPr>
                <w:rFonts w:eastAsia="Times New Roman" w:cstheme="minorHAnsi"/>
                <w:color w:val="000000"/>
                <w:sz w:val="18"/>
                <w:szCs w:val="18"/>
              </w:rPr>
            </w:pPr>
            <w:r w:rsidRPr="00DF7C10">
              <w:rPr>
                <w:rFonts w:eastAsia="Times New Roman" w:cstheme="minorHAnsi"/>
                <w:noProof/>
                <w:color w:val="000000"/>
                <w:sz w:val="18"/>
                <w:szCs w:val="18"/>
              </w:rPr>
              <w:lastRenderedPageBreak/>
              <w:drawing>
                <wp:inline distT="0" distB="0" distL="0" distR="0" wp14:anchorId="4B00CDB7" wp14:editId="78E0B5E0">
                  <wp:extent cx="1676400" cy="3476625"/>
                  <wp:effectExtent l="0" t="0" r="0" b="9525"/>
                  <wp:docPr id="1" name="Picture 1" descr="Figur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476625"/>
                          </a:xfrm>
                          <a:prstGeom prst="rect">
                            <a:avLst/>
                          </a:prstGeom>
                          <a:noFill/>
                          <a:ln>
                            <a:noFill/>
                          </a:ln>
                        </pic:spPr>
                      </pic:pic>
                    </a:graphicData>
                  </a:graphic>
                </wp:inline>
              </w:drawing>
            </w:r>
          </w:p>
        </w:tc>
        <w:tc>
          <w:tcPr>
            <w:tcW w:w="0" w:type="auto"/>
            <w:tcBorders>
              <w:top w:val="nil"/>
              <w:left w:val="nil"/>
              <w:bottom w:val="nil"/>
              <w:right w:val="nil"/>
            </w:tcBorders>
            <w:tcMar>
              <w:top w:w="150" w:type="dxa"/>
              <w:left w:w="75" w:type="dxa"/>
              <w:bottom w:w="150" w:type="dxa"/>
              <w:right w:w="75" w:type="dxa"/>
            </w:tcMar>
            <w:vAlign w:val="center"/>
            <w:hideMark/>
          </w:tcPr>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pacing w:after="0" w:line="255" w:lineRule="atLeast"/>
              <w:ind w:left="30" w:right="30"/>
              <w:rPr>
                <w:rFonts w:eastAsia="Times New Roman" w:cstheme="minorHAnsi"/>
                <w:color w:val="000000"/>
                <w:sz w:val="20"/>
                <w:szCs w:val="20"/>
              </w:rPr>
            </w:pPr>
            <w:r w:rsidRPr="00DF7C10">
              <w:rPr>
                <w:rFonts w:eastAsia="Times New Roman" w:cstheme="minorHAnsi"/>
                <w:color w:val="000000"/>
                <w:sz w:val="20"/>
                <w:szCs w:val="20"/>
              </w:rPr>
              <w:t>5. Once the lift is complete, keep the object as close to the body as possible. If the load’s center of gravity moves away from your body, there is a dramatic increase in stress to the lumbar region of the back.</w:t>
            </w:r>
          </w:p>
        </w:tc>
      </w:tr>
    </w:tbl>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color w:val="000000"/>
          <w:sz w:val="20"/>
          <w:szCs w:val="20"/>
        </w:rPr>
        <w:t>If you must turn while carrying the load, turn using your feet, not your torso. To place the object below the level of your waist, follow the same procedures in reverse order. Remember to keep your back as vertical as possible, and bend at the knees. To evaluate a worker’s lifting habits, consider the following variables: frequency of lifting, duration of such activities and type of lifting, as well as the worker’s state of health, body size, age and general physical fitness. To help in the evaluation process, consider using the </w:t>
      </w:r>
      <w:hyperlink r:id="rId12" w:tgtFrame="_blank" w:history="1">
        <w:r w:rsidRPr="00DF7C10">
          <w:rPr>
            <w:rFonts w:eastAsia="Times New Roman" w:cstheme="minorHAnsi"/>
            <w:color w:val="C00000"/>
            <w:sz w:val="20"/>
            <w:szCs w:val="20"/>
            <w:bdr w:val="none" w:sz="0" w:space="0" w:color="auto" w:frame="1"/>
          </w:rPr>
          <w:t>Applications Manual for the Revised NIOSH Lifting Equation</w:t>
        </w:r>
      </w:hyperlink>
      <w:r w:rsidRPr="00DF7C10">
        <w:rPr>
          <w:rFonts w:eastAsia="Times New Roman" w:cstheme="minorHAnsi"/>
          <w:color w:val="C00000"/>
          <w:sz w:val="20"/>
          <w:szCs w:val="20"/>
        </w:rPr>
        <w:t>,</w:t>
      </w:r>
      <w:r w:rsidRPr="00DF7C10">
        <w:rPr>
          <w:rFonts w:eastAsia="Times New Roman" w:cstheme="minorHAnsi"/>
          <w:color w:val="000000"/>
          <w:sz w:val="20"/>
          <w:szCs w:val="20"/>
        </w:rPr>
        <w:t xml:space="preserve"> which gives an equation that you can use to factor all of these variables. You can download this right from the NIOSH website by clicking the hyperlink above.</w:t>
      </w: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b/>
          <w:bCs/>
          <w:color w:val="000000"/>
          <w:sz w:val="20"/>
          <w:szCs w:val="20"/>
          <w:bdr w:val="none" w:sz="0" w:space="0" w:color="auto" w:frame="1"/>
        </w:rPr>
        <w:t>Conclusion</w:t>
      </w: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color w:val="000000"/>
          <w:sz w:val="20"/>
          <w:szCs w:val="20"/>
        </w:rPr>
        <w:t>Using proper lifting techniques can help prevent downtime due to avoidable back injuries. With a little practice, precautionary methods such as these can become good daily habits that could help prevent back injuries both on and off the job. Remember, no approach will completely eliminate back injuries. However, a substantial portion can be prevented by incorporating effective administrative and engineering controls.</w:t>
      </w: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b/>
          <w:bCs/>
          <w:color w:val="000000"/>
          <w:sz w:val="20"/>
          <w:szCs w:val="20"/>
          <w:bdr w:val="none" w:sz="0" w:space="0" w:color="auto" w:frame="1"/>
        </w:rPr>
        <w:t>Commonly Asked Questions</w:t>
      </w:r>
    </w:p>
    <w:p w:rsidR="00DF7C10" w:rsidRPr="00DF7C10" w:rsidRDefault="00DF7C10" w:rsidP="00DF7C10">
      <w:pPr>
        <w:shd w:val="clear" w:color="auto" w:fill="FFFFFF"/>
        <w:spacing w:after="0" w:line="240" w:lineRule="auto"/>
        <w:rPr>
          <w:rFonts w:eastAsia="Times New Roman" w:cstheme="minorHAnsi"/>
          <w:color w:val="333333"/>
          <w:sz w:val="21"/>
          <w:szCs w:val="21"/>
        </w:rPr>
      </w:pPr>
      <w:r w:rsidRPr="00DF7C10">
        <w:rPr>
          <w:rFonts w:eastAsia="Times New Roman" w:cstheme="minorHAnsi"/>
          <w:b/>
          <w:bCs/>
          <w:color w:val="333333"/>
          <w:sz w:val="18"/>
          <w:szCs w:val="18"/>
          <w:bdr w:val="none" w:sz="0" w:space="0" w:color="auto" w:frame="1"/>
        </w:rPr>
        <w:t>Q: When carrying a load, is it okay to turn or twist my body as long as I turn with my torso?</w:t>
      </w:r>
      <w:r>
        <w:rPr>
          <w:rFonts w:eastAsia="Times New Roman" w:cstheme="minorHAnsi"/>
          <w:b/>
          <w:bCs/>
          <w:color w:val="333333"/>
          <w:sz w:val="18"/>
          <w:szCs w:val="18"/>
          <w:bdr w:val="none" w:sz="0" w:space="0" w:color="auto" w:frame="1"/>
        </w:rPr>
        <w:t xml:space="preserve"> </w:t>
      </w:r>
      <w:r w:rsidRPr="00DF7C10">
        <w:rPr>
          <w:rFonts w:eastAsia="Times New Roman" w:cstheme="minorHAnsi"/>
          <w:b/>
          <w:bCs/>
          <w:color w:val="333333"/>
          <w:sz w:val="18"/>
          <w:szCs w:val="18"/>
          <w:bdr w:val="none" w:sz="0" w:space="0" w:color="auto" w:frame="1"/>
        </w:rPr>
        <w:t>A:</w:t>
      </w:r>
      <w:r>
        <w:rPr>
          <w:rFonts w:eastAsia="Times New Roman" w:cstheme="minorHAnsi"/>
          <w:b/>
          <w:bCs/>
          <w:color w:val="333333"/>
          <w:sz w:val="18"/>
          <w:szCs w:val="18"/>
          <w:bdr w:val="none" w:sz="0" w:space="0" w:color="auto" w:frame="1"/>
        </w:rPr>
        <w:t xml:space="preserve"> </w:t>
      </w:r>
      <w:r w:rsidRPr="00DF7C10">
        <w:rPr>
          <w:rFonts w:eastAsia="Times New Roman" w:cstheme="minorHAnsi"/>
          <w:color w:val="333333"/>
          <w:sz w:val="18"/>
          <w:szCs w:val="18"/>
          <w:bdr w:val="none" w:sz="0" w:space="0" w:color="auto" w:frame="1"/>
        </w:rPr>
        <w:t>No. You should try to minimize any turning or twisting, but if you must turn while carrying the load, turn using your feet.</w:t>
      </w:r>
    </w:p>
    <w:p w:rsidR="00DF7C10" w:rsidRPr="00DF7C10" w:rsidRDefault="00DF7C10" w:rsidP="00DF7C10">
      <w:pPr>
        <w:shd w:val="clear" w:color="auto" w:fill="FFFFFF"/>
        <w:spacing w:after="0" w:line="240" w:lineRule="auto"/>
        <w:rPr>
          <w:rFonts w:eastAsia="Times New Roman" w:cstheme="minorHAnsi"/>
          <w:color w:val="C00000"/>
          <w:sz w:val="21"/>
          <w:szCs w:val="21"/>
        </w:rPr>
      </w:pPr>
      <w:r w:rsidRPr="00DF7C10">
        <w:rPr>
          <w:rFonts w:eastAsia="Times New Roman" w:cstheme="minorHAnsi"/>
          <w:b/>
          <w:bCs/>
          <w:color w:val="333333"/>
          <w:sz w:val="18"/>
          <w:szCs w:val="18"/>
          <w:bdr w:val="none" w:sz="0" w:space="0" w:color="auto" w:frame="1"/>
        </w:rPr>
        <w:t>Q</w:t>
      </w:r>
      <w:proofErr w:type="gramStart"/>
      <w:r w:rsidRPr="00DF7C10">
        <w:rPr>
          <w:rFonts w:eastAsia="Times New Roman" w:cstheme="minorHAnsi"/>
          <w:b/>
          <w:bCs/>
          <w:color w:val="333333"/>
          <w:sz w:val="18"/>
          <w:szCs w:val="18"/>
          <w:bdr w:val="none" w:sz="0" w:space="0" w:color="auto" w:frame="1"/>
        </w:rPr>
        <w:t>:Are</w:t>
      </w:r>
      <w:proofErr w:type="gramEnd"/>
      <w:r w:rsidRPr="00DF7C10">
        <w:rPr>
          <w:rFonts w:eastAsia="Times New Roman" w:cstheme="minorHAnsi"/>
          <w:b/>
          <w:bCs/>
          <w:color w:val="333333"/>
          <w:sz w:val="18"/>
          <w:szCs w:val="18"/>
          <w:bdr w:val="none" w:sz="0" w:space="0" w:color="auto" w:frame="1"/>
        </w:rPr>
        <w:t xml:space="preserve"> there any guidelines I can follow to help assess multi-task lifting jobs?</w:t>
      </w:r>
      <w:r>
        <w:rPr>
          <w:rFonts w:eastAsia="Times New Roman" w:cstheme="minorHAnsi"/>
          <w:b/>
          <w:bCs/>
          <w:color w:val="333333"/>
          <w:sz w:val="18"/>
          <w:szCs w:val="18"/>
          <w:bdr w:val="none" w:sz="0" w:space="0" w:color="auto" w:frame="1"/>
        </w:rPr>
        <w:t xml:space="preserve"> </w:t>
      </w:r>
      <w:r w:rsidRPr="00DF7C10">
        <w:rPr>
          <w:rFonts w:eastAsia="Times New Roman" w:cstheme="minorHAnsi"/>
          <w:b/>
          <w:bCs/>
          <w:color w:val="333333"/>
          <w:sz w:val="18"/>
          <w:szCs w:val="18"/>
          <w:bdr w:val="none" w:sz="0" w:space="0" w:color="auto" w:frame="1"/>
        </w:rPr>
        <w:t>A:</w:t>
      </w:r>
      <w:r>
        <w:rPr>
          <w:rFonts w:eastAsia="Times New Roman" w:cstheme="minorHAnsi"/>
          <w:b/>
          <w:bCs/>
          <w:color w:val="333333"/>
          <w:sz w:val="18"/>
          <w:szCs w:val="18"/>
          <w:bdr w:val="none" w:sz="0" w:space="0" w:color="auto" w:frame="1"/>
        </w:rPr>
        <w:t xml:space="preserve"> </w:t>
      </w:r>
      <w:r w:rsidRPr="00DF7C10">
        <w:rPr>
          <w:rFonts w:eastAsia="Times New Roman" w:cstheme="minorHAnsi"/>
          <w:color w:val="333333"/>
          <w:sz w:val="18"/>
          <w:szCs w:val="18"/>
          <w:bdr w:val="none" w:sz="0" w:space="0" w:color="auto" w:frame="1"/>
        </w:rPr>
        <w:t>Yes. To help in the evaluation process, refer to the </w:t>
      </w:r>
      <w:hyperlink r:id="rId13" w:tgtFrame="_blank" w:history="1">
        <w:r w:rsidRPr="00DF7C10">
          <w:rPr>
            <w:rFonts w:eastAsia="Times New Roman" w:cstheme="minorHAnsi"/>
            <w:color w:val="C00000"/>
            <w:sz w:val="18"/>
            <w:szCs w:val="18"/>
            <w:bdr w:val="none" w:sz="0" w:space="0" w:color="auto" w:frame="1"/>
          </w:rPr>
          <w:t>Applications Manual for the Revised NIOSH Lifting Equation.</w:t>
        </w:r>
      </w:hyperlink>
    </w:p>
    <w:p w:rsidR="00DF7C10" w:rsidRPr="00DF7C10" w:rsidRDefault="00DF7C10" w:rsidP="00DF7C10">
      <w:pPr>
        <w:shd w:val="clear" w:color="auto" w:fill="FFFFFF"/>
        <w:spacing w:after="0" w:line="240" w:lineRule="auto"/>
        <w:rPr>
          <w:rFonts w:eastAsia="Times New Roman" w:cstheme="minorHAnsi"/>
          <w:color w:val="333333"/>
          <w:sz w:val="21"/>
          <w:szCs w:val="21"/>
        </w:rPr>
      </w:pPr>
      <w:r w:rsidRPr="00DF7C10">
        <w:rPr>
          <w:rFonts w:eastAsia="Times New Roman" w:cstheme="minorHAnsi"/>
          <w:b/>
          <w:bCs/>
          <w:color w:val="333333"/>
          <w:sz w:val="18"/>
          <w:szCs w:val="18"/>
          <w:bdr w:val="none" w:sz="0" w:space="0" w:color="auto" w:frame="1"/>
        </w:rPr>
        <w:t>Q</w:t>
      </w:r>
      <w:proofErr w:type="gramStart"/>
      <w:r w:rsidRPr="00DF7C10">
        <w:rPr>
          <w:rFonts w:eastAsia="Times New Roman" w:cstheme="minorHAnsi"/>
          <w:b/>
          <w:bCs/>
          <w:color w:val="333333"/>
          <w:sz w:val="18"/>
          <w:szCs w:val="18"/>
          <w:bdr w:val="none" w:sz="0" w:space="0" w:color="auto" w:frame="1"/>
        </w:rPr>
        <w:t>:Will</w:t>
      </w:r>
      <w:proofErr w:type="gramEnd"/>
      <w:r w:rsidRPr="00DF7C10">
        <w:rPr>
          <w:rFonts w:eastAsia="Times New Roman" w:cstheme="minorHAnsi"/>
          <w:b/>
          <w:bCs/>
          <w:color w:val="333333"/>
          <w:sz w:val="18"/>
          <w:szCs w:val="18"/>
          <w:bdr w:val="none" w:sz="0" w:space="0" w:color="auto" w:frame="1"/>
        </w:rPr>
        <w:t xml:space="preserve"> wearing a </w:t>
      </w:r>
      <w:hyperlink r:id="rId14" w:history="1">
        <w:r w:rsidRPr="00DF7C10">
          <w:rPr>
            <w:rFonts w:eastAsia="Times New Roman" w:cstheme="minorHAnsi"/>
            <w:b/>
            <w:bCs/>
            <w:color w:val="C00000"/>
            <w:sz w:val="18"/>
            <w:szCs w:val="18"/>
            <w:bdr w:val="none" w:sz="0" w:space="0" w:color="auto" w:frame="1"/>
          </w:rPr>
          <w:t>back support belt</w:t>
        </w:r>
      </w:hyperlink>
      <w:r w:rsidRPr="00DF7C10">
        <w:rPr>
          <w:rFonts w:eastAsia="Times New Roman" w:cstheme="minorHAnsi"/>
          <w:b/>
          <w:bCs/>
          <w:color w:val="333333"/>
          <w:sz w:val="18"/>
          <w:szCs w:val="18"/>
          <w:bdr w:val="none" w:sz="0" w:space="0" w:color="auto" w:frame="1"/>
        </w:rPr>
        <w:t> increase my maximum lifting potential?</w:t>
      </w:r>
      <w:r>
        <w:rPr>
          <w:rFonts w:eastAsia="Times New Roman" w:cstheme="minorHAnsi"/>
          <w:b/>
          <w:bCs/>
          <w:color w:val="333333"/>
          <w:sz w:val="18"/>
          <w:szCs w:val="18"/>
          <w:bdr w:val="none" w:sz="0" w:space="0" w:color="auto" w:frame="1"/>
        </w:rPr>
        <w:t xml:space="preserve"> </w:t>
      </w:r>
      <w:r w:rsidRPr="00DF7C10">
        <w:rPr>
          <w:rFonts w:eastAsia="Times New Roman" w:cstheme="minorHAnsi"/>
          <w:b/>
          <w:bCs/>
          <w:color w:val="333333"/>
          <w:sz w:val="18"/>
          <w:szCs w:val="18"/>
          <w:bdr w:val="none" w:sz="0" w:space="0" w:color="auto" w:frame="1"/>
        </w:rPr>
        <w:t>A:</w:t>
      </w:r>
      <w:r>
        <w:rPr>
          <w:rFonts w:eastAsia="Times New Roman" w:cstheme="minorHAnsi"/>
          <w:b/>
          <w:bCs/>
          <w:color w:val="333333"/>
          <w:sz w:val="18"/>
          <w:szCs w:val="18"/>
          <w:bdr w:val="none" w:sz="0" w:space="0" w:color="auto" w:frame="1"/>
        </w:rPr>
        <w:t xml:space="preserve"> </w:t>
      </w:r>
      <w:r w:rsidRPr="00DF7C10">
        <w:rPr>
          <w:rFonts w:eastAsia="Times New Roman" w:cstheme="minorHAnsi"/>
          <w:color w:val="333333"/>
          <w:sz w:val="18"/>
          <w:szCs w:val="18"/>
          <w:bdr w:val="none" w:sz="0" w:space="0" w:color="auto" w:frame="1"/>
        </w:rPr>
        <w:t>No. Manufacturers of back support belts do not claim they increase maximum lifting potential.</w:t>
      </w: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color w:val="000000"/>
          <w:sz w:val="20"/>
          <w:szCs w:val="20"/>
        </w:rPr>
        <w:t> </w:t>
      </w:r>
    </w:p>
    <w:p w:rsidR="00DF7C10" w:rsidRPr="00DF7C10" w:rsidRDefault="00DF7C10" w:rsidP="00DF7C10">
      <w:pPr>
        <w:shd w:val="clear" w:color="auto" w:fill="FFFFFF"/>
        <w:spacing w:after="0" w:line="255" w:lineRule="atLeast"/>
        <w:rPr>
          <w:rFonts w:eastAsia="Times New Roman" w:cstheme="minorHAnsi"/>
          <w:b/>
          <w:bCs/>
          <w:color w:val="000000"/>
          <w:sz w:val="20"/>
          <w:szCs w:val="20"/>
          <w:bdr w:val="none" w:sz="0" w:space="0" w:color="auto" w:frame="1"/>
        </w:rPr>
      </w:pPr>
    </w:p>
    <w:p w:rsidR="00DF7C10" w:rsidRPr="00DF7C10" w:rsidRDefault="00DF7C10" w:rsidP="00DF7C10">
      <w:pPr>
        <w:shd w:val="clear" w:color="auto" w:fill="FFFFFF"/>
        <w:spacing w:after="0" w:line="255" w:lineRule="atLeast"/>
        <w:rPr>
          <w:rFonts w:eastAsia="Times New Roman" w:cstheme="minorHAnsi"/>
          <w:b/>
          <w:bCs/>
          <w:color w:val="000000"/>
          <w:sz w:val="20"/>
          <w:szCs w:val="20"/>
          <w:bdr w:val="none" w:sz="0" w:space="0" w:color="auto" w:frame="1"/>
        </w:rPr>
      </w:pPr>
    </w:p>
    <w:p w:rsidR="00DF7C10" w:rsidRPr="00DF7C10" w:rsidRDefault="00DF7C10" w:rsidP="00DF7C10">
      <w:pPr>
        <w:shd w:val="clear" w:color="auto" w:fill="FFFFFF"/>
        <w:spacing w:after="0" w:line="255" w:lineRule="atLeast"/>
        <w:rPr>
          <w:rFonts w:eastAsia="Times New Roman" w:cstheme="minorHAnsi"/>
          <w:b/>
          <w:bCs/>
          <w:color w:val="000000"/>
          <w:sz w:val="20"/>
          <w:szCs w:val="20"/>
          <w:bdr w:val="none" w:sz="0" w:space="0" w:color="auto" w:frame="1"/>
        </w:rPr>
      </w:pPr>
    </w:p>
    <w:p w:rsidR="00DF7C10" w:rsidRPr="00DF7C10" w:rsidRDefault="00DF7C10" w:rsidP="00DF7C10">
      <w:pPr>
        <w:shd w:val="clear" w:color="auto" w:fill="FFFFFF"/>
        <w:spacing w:after="0" w:line="255" w:lineRule="atLeast"/>
        <w:rPr>
          <w:rFonts w:eastAsia="Times New Roman" w:cstheme="minorHAnsi"/>
          <w:b/>
          <w:bCs/>
          <w:color w:val="000000"/>
          <w:sz w:val="20"/>
          <w:szCs w:val="20"/>
          <w:bdr w:val="none" w:sz="0" w:space="0" w:color="auto" w:frame="1"/>
        </w:rPr>
      </w:pPr>
    </w:p>
    <w:p w:rsidR="00DF7C10" w:rsidRPr="00DF7C10" w:rsidRDefault="00DF7C10" w:rsidP="00DF7C10">
      <w:pPr>
        <w:shd w:val="clear" w:color="auto" w:fill="FFFFFF"/>
        <w:spacing w:after="0" w:line="255" w:lineRule="atLeast"/>
        <w:rPr>
          <w:rFonts w:eastAsia="Times New Roman" w:cstheme="minorHAnsi"/>
          <w:b/>
          <w:bCs/>
          <w:color w:val="000000"/>
          <w:sz w:val="20"/>
          <w:szCs w:val="20"/>
          <w:bdr w:val="none" w:sz="0" w:space="0" w:color="auto" w:frame="1"/>
        </w:rPr>
      </w:pP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b/>
          <w:bCs/>
          <w:color w:val="000000"/>
          <w:sz w:val="20"/>
          <w:szCs w:val="20"/>
          <w:bdr w:val="none" w:sz="0" w:space="0" w:color="auto" w:frame="1"/>
        </w:rPr>
        <w:t>Sources</w:t>
      </w:r>
    </w:p>
    <w:p w:rsidR="00DF7C10" w:rsidRPr="00DF7C10" w:rsidRDefault="00DF7C10" w:rsidP="00DF7C10">
      <w:pPr>
        <w:shd w:val="clear" w:color="auto" w:fill="FFFFFF"/>
        <w:spacing w:after="0" w:line="255" w:lineRule="atLeast"/>
        <w:rPr>
          <w:rFonts w:eastAsia="Times New Roman" w:cstheme="minorHAnsi"/>
          <w:color w:val="C00000"/>
          <w:sz w:val="20"/>
          <w:szCs w:val="20"/>
        </w:rPr>
      </w:pPr>
      <w:hyperlink r:id="rId15" w:tgtFrame="_blank" w:history="1">
        <w:r w:rsidRPr="00DF7C10">
          <w:rPr>
            <w:rFonts w:eastAsia="Times New Roman" w:cstheme="minorHAnsi"/>
            <w:color w:val="C00000"/>
            <w:sz w:val="20"/>
            <w:szCs w:val="20"/>
            <w:bdr w:val="none" w:sz="0" w:space="0" w:color="auto" w:frame="1"/>
          </w:rPr>
          <w:t>www.osha.gov</w:t>
        </w:r>
      </w:hyperlink>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i/>
          <w:iCs/>
          <w:color w:val="000000"/>
          <w:sz w:val="20"/>
          <w:szCs w:val="20"/>
          <w:bdr w:val="none" w:sz="0" w:space="0" w:color="auto" w:frame="1"/>
        </w:rPr>
        <w:t xml:space="preserve">“Applications Manual </w:t>
      </w:r>
      <w:proofErr w:type="gramStart"/>
      <w:r w:rsidRPr="00DF7C10">
        <w:rPr>
          <w:rFonts w:eastAsia="Times New Roman" w:cstheme="minorHAnsi"/>
          <w:i/>
          <w:iCs/>
          <w:color w:val="000000"/>
          <w:sz w:val="20"/>
          <w:szCs w:val="20"/>
          <w:bdr w:val="none" w:sz="0" w:space="0" w:color="auto" w:frame="1"/>
        </w:rPr>
        <w:t>For</w:t>
      </w:r>
      <w:proofErr w:type="gramEnd"/>
      <w:r w:rsidRPr="00DF7C10">
        <w:rPr>
          <w:rFonts w:eastAsia="Times New Roman" w:cstheme="minorHAnsi"/>
          <w:i/>
          <w:iCs/>
          <w:color w:val="000000"/>
          <w:sz w:val="20"/>
          <w:szCs w:val="20"/>
          <w:bdr w:val="none" w:sz="0" w:space="0" w:color="auto" w:frame="1"/>
        </w:rPr>
        <w:t xml:space="preserve"> the Revised NIOSH Lifting Equation,”</w:t>
      </w:r>
      <w:r w:rsidRPr="00DF7C10">
        <w:rPr>
          <w:rFonts w:eastAsia="Times New Roman" w:cstheme="minorHAnsi"/>
          <w:color w:val="000000"/>
          <w:sz w:val="20"/>
          <w:szCs w:val="20"/>
        </w:rPr>
        <w:t> U.S. Department of Health and Human Services, Centers for Disease Control and Prevention, January 1994</w:t>
      </w: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i/>
          <w:iCs/>
          <w:color w:val="000000"/>
          <w:sz w:val="20"/>
          <w:szCs w:val="20"/>
          <w:bdr w:val="none" w:sz="0" w:space="0" w:color="auto" w:frame="1"/>
        </w:rPr>
        <w:t>“Nonfatal Occupational Injuries and Illnesses Requiring Days Away From Work,”</w:t>
      </w:r>
      <w:r w:rsidRPr="00DF7C10">
        <w:rPr>
          <w:rFonts w:eastAsia="Times New Roman" w:cstheme="minorHAnsi"/>
          <w:color w:val="000000"/>
          <w:sz w:val="20"/>
          <w:szCs w:val="20"/>
        </w:rPr>
        <w:t> U.S. Department of Labor, Bureau of Labor Statistic (BLS), December 2014</w:t>
      </w:r>
    </w:p>
    <w:p w:rsidR="00DF7C10" w:rsidRPr="00DF7C10" w:rsidRDefault="00DF7C10" w:rsidP="00DF7C10">
      <w:pPr>
        <w:shd w:val="clear" w:color="auto" w:fill="FFFFFF"/>
        <w:spacing w:after="0" w:line="255" w:lineRule="atLeast"/>
        <w:rPr>
          <w:rFonts w:eastAsia="Times New Roman" w:cstheme="minorHAnsi"/>
          <w:color w:val="000000"/>
          <w:sz w:val="20"/>
          <w:szCs w:val="20"/>
        </w:rPr>
      </w:pPr>
      <w:r w:rsidRPr="00DF7C10">
        <w:rPr>
          <w:rFonts w:eastAsia="Times New Roman" w:cstheme="minorHAnsi"/>
          <w:i/>
          <w:iCs/>
          <w:color w:val="000000"/>
          <w:sz w:val="20"/>
          <w:szCs w:val="20"/>
          <w:bdr w:val="none" w:sz="0" w:space="0" w:color="auto" w:frame="1"/>
        </w:rPr>
        <w:t xml:space="preserve">"Facts </w:t>
      </w:r>
      <w:proofErr w:type="gramStart"/>
      <w:r w:rsidRPr="00DF7C10">
        <w:rPr>
          <w:rFonts w:eastAsia="Times New Roman" w:cstheme="minorHAnsi"/>
          <w:i/>
          <w:iCs/>
          <w:color w:val="000000"/>
          <w:sz w:val="20"/>
          <w:szCs w:val="20"/>
          <w:bdr w:val="none" w:sz="0" w:space="0" w:color="auto" w:frame="1"/>
        </w:rPr>
        <w:t>About</w:t>
      </w:r>
      <w:proofErr w:type="gramEnd"/>
      <w:r w:rsidRPr="00DF7C10">
        <w:rPr>
          <w:rFonts w:eastAsia="Times New Roman" w:cstheme="minorHAnsi"/>
          <w:i/>
          <w:iCs/>
          <w:color w:val="000000"/>
          <w:sz w:val="20"/>
          <w:szCs w:val="20"/>
          <w:bdr w:val="none" w:sz="0" w:space="0" w:color="auto" w:frame="1"/>
        </w:rPr>
        <w:t xml:space="preserve"> Backs."</w:t>
      </w:r>
      <w:r w:rsidRPr="00DF7C10">
        <w:rPr>
          <w:rFonts w:eastAsia="Times New Roman" w:cstheme="minorHAnsi"/>
          <w:color w:val="000000"/>
          <w:sz w:val="20"/>
          <w:szCs w:val="20"/>
        </w:rPr>
        <w:t> </w:t>
      </w:r>
      <w:proofErr w:type="gramStart"/>
      <w:r w:rsidRPr="00DF7C10">
        <w:rPr>
          <w:rFonts w:eastAsia="Times New Roman" w:cstheme="minorHAnsi"/>
          <w:color w:val="000000"/>
          <w:sz w:val="20"/>
          <w:szCs w:val="20"/>
        </w:rPr>
        <w:t>Bureau of Business Practice, 1994.</w:t>
      </w:r>
      <w:proofErr w:type="gramEnd"/>
    </w:p>
    <w:p w:rsidR="00DF7C10" w:rsidRPr="00DF7C10" w:rsidRDefault="00DF7C10" w:rsidP="00DF7C10">
      <w:pPr>
        <w:shd w:val="clear" w:color="auto" w:fill="FFFFFF"/>
        <w:spacing w:after="0" w:line="255" w:lineRule="atLeast"/>
        <w:rPr>
          <w:rFonts w:eastAsia="Times New Roman" w:cstheme="minorHAnsi"/>
          <w:color w:val="000000"/>
          <w:sz w:val="20"/>
          <w:szCs w:val="20"/>
        </w:rPr>
      </w:pPr>
      <w:proofErr w:type="gramStart"/>
      <w:r w:rsidRPr="00DF7C10">
        <w:rPr>
          <w:rFonts w:eastAsia="Times New Roman" w:cstheme="minorHAnsi"/>
          <w:i/>
          <w:iCs/>
          <w:color w:val="000000"/>
          <w:sz w:val="20"/>
          <w:szCs w:val="20"/>
          <w:bdr w:val="none" w:sz="0" w:space="0" w:color="auto" w:frame="1"/>
        </w:rPr>
        <w:t>"</w:t>
      </w:r>
      <w:hyperlink r:id="rId16" w:tgtFrame="_blank" w:history="1">
        <w:r w:rsidRPr="00DF7C10">
          <w:rPr>
            <w:rFonts w:eastAsia="Times New Roman" w:cstheme="minorHAnsi"/>
            <w:i/>
            <w:iCs/>
            <w:color w:val="C00000"/>
            <w:sz w:val="20"/>
            <w:szCs w:val="20"/>
            <w:bdr w:val="none" w:sz="0" w:space="0" w:color="auto" w:frame="1"/>
          </w:rPr>
          <w:t>Back Injuries-Nation's #1 Workplace Safety Problem,"</w:t>
        </w:r>
      </w:hyperlink>
      <w:r w:rsidRPr="00DF7C10">
        <w:rPr>
          <w:rFonts w:eastAsia="Times New Roman" w:cstheme="minorHAnsi"/>
          <w:color w:val="C00000"/>
          <w:sz w:val="20"/>
          <w:szCs w:val="20"/>
        </w:rPr>
        <w:t> </w:t>
      </w:r>
      <w:r w:rsidRPr="00DF7C10">
        <w:rPr>
          <w:rFonts w:eastAsia="Times New Roman" w:cstheme="minorHAnsi"/>
          <w:color w:val="000000"/>
          <w:sz w:val="20"/>
          <w:szCs w:val="20"/>
        </w:rPr>
        <w:t>Fact Sheet No.</w:t>
      </w:r>
      <w:proofErr w:type="gramEnd"/>
      <w:r w:rsidRPr="00DF7C10">
        <w:rPr>
          <w:rFonts w:eastAsia="Times New Roman" w:cstheme="minorHAnsi"/>
          <w:color w:val="000000"/>
          <w:sz w:val="20"/>
          <w:szCs w:val="20"/>
        </w:rPr>
        <w:t xml:space="preserve"> OSHA 89-09, U.S. Department of Labor</w:t>
      </w:r>
    </w:p>
    <w:p w:rsidR="00DF7C10" w:rsidRPr="00DF7C10" w:rsidRDefault="00DF7C10">
      <w:pPr>
        <w:rPr>
          <w:rFonts w:cstheme="minorHAnsi"/>
        </w:rPr>
      </w:pPr>
    </w:p>
    <w:sectPr w:rsidR="00DF7C10" w:rsidRPr="00DF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D6767"/>
    <w:multiLevelType w:val="multilevel"/>
    <w:tmpl w:val="1C589C06"/>
    <w:lvl w:ilvl="0">
      <w:start w:val="1"/>
      <w:numFmt w:val="bullet"/>
      <w:lvlText w:val=""/>
      <w:lvlJc w:val="left"/>
      <w:pPr>
        <w:tabs>
          <w:tab w:val="num" w:pos="720"/>
        </w:tabs>
        <w:ind w:left="720" w:hanging="360"/>
      </w:pPr>
      <w:rPr>
        <w:rFonts w:ascii="Wingdings" w:hAnsi="Wingdings" w:hint="default"/>
        <w:b/>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CB7B29"/>
    <w:multiLevelType w:val="multilevel"/>
    <w:tmpl w:val="D466CBE8"/>
    <w:lvl w:ilvl="0">
      <w:start w:val="1"/>
      <w:numFmt w:val="bullet"/>
      <w:lvlText w:val=""/>
      <w:lvlJc w:val="left"/>
      <w:pPr>
        <w:tabs>
          <w:tab w:val="num" w:pos="720"/>
        </w:tabs>
        <w:ind w:left="720" w:hanging="360"/>
      </w:pPr>
      <w:rPr>
        <w:rFonts w:ascii="Wingdings" w:hAnsi="Wingdings" w:hint="default"/>
        <w:b/>
        <w:color w:val="C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10"/>
    <w:rsid w:val="0008720E"/>
    <w:rsid w:val="0095130B"/>
    <w:rsid w:val="00AE285B"/>
    <w:rsid w:val="00D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7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C1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F7C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C10"/>
    <w:rPr>
      <w:b/>
      <w:bCs/>
    </w:rPr>
  </w:style>
  <w:style w:type="character" w:styleId="Hyperlink">
    <w:name w:val="Hyperlink"/>
    <w:basedOn w:val="DefaultParagraphFont"/>
    <w:uiPriority w:val="99"/>
    <w:semiHidden/>
    <w:unhideWhenUsed/>
    <w:rsid w:val="00DF7C10"/>
    <w:rPr>
      <w:color w:val="0000FF"/>
      <w:u w:val="single"/>
    </w:rPr>
  </w:style>
  <w:style w:type="character" w:customStyle="1" w:styleId="apple-converted-space">
    <w:name w:val="apple-converted-space"/>
    <w:basedOn w:val="DefaultParagraphFont"/>
    <w:rsid w:val="00DF7C10"/>
  </w:style>
  <w:style w:type="character" w:customStyle="1" w:styleId="equotesq">
    <w:name w:val="equotesq"/>
    <w:basedOn w:val="DefaultParagraphFont"/>
    <w:rsid w:val="00DF7C10"/>
  </w:style>
  <w:style w:type="character" w:customStyle="1" w:styleId="equotesquestion">
    <w:name w:val="equotesquestion"/>
    <w:basedOn w:val="DefaultParagraphFont"/>
    <w:rsid w:val="00DF7C10"/>
  </w:style>
  <w:style w:type="character" w:customStyle="1" w:styleId="equotesa">
    <w:name w:val="equotesa"/>
    <w:basedOn w:val="DefaultParagraphFont"/>
    <w:rsid w:val="00DF7C10"/>
  </w:style>
  <w:style w:type="character" w:customStyle="1" w:styleId="equotesanswer">
    <w:name w:val="equotesanswer"/>
    <w:basedOn w:val="DefaultParagraphFont"/>
    <w:rsid w:val="00DF7C10"/>
  </w:style>
  <w:style w:type="character" w:styleId="Emphasis">
    <w:name w:val="Emphasis"/>
    <w:basedOn w:val="DefaultParagraphFont"/>
    <w:uiPriority w:val="20"/>
    <w:qFormat/>
    <w:rsid w:val="00DF7C10"/>
    <w:rPr>
      <w:i/>
      <w:iCs/>
    </w:rPr>
  </w:style>
  <w:style w:type="paragraph" w:styleId="BalloonText">
    <w:name w:val="Balloon Text"/>
    <w:basedOn w:val="Normal"/>
    <w:link w:val="BalloonTextChar"/>
    <w:uiPriority w:val="99"/>
    <w:semiHidden/>
    <w:unhideWhenUsed/>
    <w:rsid w:val="00DF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7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C1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F7C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C10"/>
    <w:rPr>
      <w:b/>
      <w:bCs/>
    </w:rPr>
  </w:style>
  <w:style w:type="character" w:styleId="Hyperlink">
    <w:name w:val="Hyperlink"/>
    <w:basedOn w:val="DefaultParagraphFont"/>
    <w:uiPriority w:val="99"/>
    <w:semiHidden/>
    <w:unhideWhenUsed/>
    <w:rsid w:val="00DF7C10"/>
    <w:rPr>
      <w:color w:val="0000FF"/>
      <w:u w:val="single"/>
    </w:rPr>
  </w:style>
  <w:style w:type="character" w:customStyle="1" w:styleId="apple-converted-space">
    <w:name w:val="apple-converted-space"/>
    <w:basedOn w:val="DefaultParagraphFont"/>
    <w:rsid w:val="00DF7C10"/>
  </w:style>
  <w:style w:type="character" w:customStyle="1" w:styleId="equotesq">
    <w:name w:val="equotesq"/>
    <w:basedOn w:val="DefaultParagraphFont"/>
    <w:rsid w:val="00DF7C10"/>
  </w:style>
  <w:style w:type="character" w:customStyle="1" w:styleId="equotesquestion">
    <w:name w:val="equotesquestion"/>
    <w:basedOn w:val="DefaultParagraphFont"/>
    <w:rsid w:val="00DF7C10"/>
  </w:style>
  <w:style w:type="character" w:customStyle="1" w:styleId="equotesa">
    <w:name w:val="equotesa"/>
    <w:basedOn w:val="DefaultParagraphFont"/>
    <w:rsid w:val="00DF7C10"/>
  </w:style>
  <w:style w:type="character" w:customStyle="1" w:styleId="equotesanswer">
    <w:name w:val="equotesanswer"/>
    <w:basedOn w:val="DefaultParagraphFont"/>
    <w:rsid w:val="00DF7C10"/>
  </w:style>
  <w:style w:type="character" w:styleId="Emphasis">
    <w:name w:val="Emphasis"/>
    <w:basedOn w:val="DefaultParagraphFont"/>
    <w:uiPriority w:val="20"/>
    <w:qFormat/>
    <w:rsid w:val="00DF7C10"/>
    <w:rPr>
      <w:i/>
      <w:iCs/>
    </w:rPr>
  </w:style>
  <w:style w:type="paragraph" w:styleId="BalloonText">
    <w:name w:val="Balloon Text"/>
    <w:basedOn w:val="Normal"/>
    <w:link w:val="BalloonTextChar"/>
    <w:uiPriority w:val="99"/>
    <w:semiHidden/>
    <w:unhideWhenUsed/>
    <w:rsid w:val="00DF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2987">
      <w:bodyDiv w:val="1"/>
      <w:marLeft w:val="0"/>
      <w:marRight w:val="0"/>
      <w:marTop w:val="0"/>
      <w:marBottom w:val="0"/>
      <w:divBdr>
        <w:top w:val="none" w:sz="0" w:space="0" w:color="auto"/>
        <w:left w:val="none" w:sz="0" w:space="0" w:color="auto"/>
        <w:bottom w:val="none" w:sz="0" w:space="0" w:color="auto"/>
        <w:right w:val="none" w:sz="0" w:space="0" w:color="auto"/>
      </w:divBdr>
      <w:divsChild>
        <w:div w:id="1252591767">
          <w:marLeft w:val="0"/>
          <w:marRight w:val="0"/>
          <w:marTop w:val="0"/>
          <w:marBottom w:val="0"/>
          <w:divBdr>
            <w:top w:val="none" w:sz="0" w:space="0" w:color="auto"/>
            <w:left w:val="none" w:sz="0" w:space="0" w:color="auto"/>
            <w:bottom w:val="none" w:sz="0" w:space="0" w:color="auto"/>
            <w:right w:val="none" w:sz="0" w:space="0" w:color="auto"/>
          </w:divBdr>
          <w:divsChild>
            <w:div w:id="1732341110">
              <w:marLeft w:val="0"/>
              <w:marRight w:val="0"/>
              <w:marTop w:val="0"/>
              <w:marBottom w:val="0"/>
              <w:divBdr>
                <w:top w:val="none" w:sz="0" w:space="0" w:color="auto"/>
                <w:left w:val="none" w:sz="0" w:space="0" w:color="auto"/>
                <w:bottom w:val="none" w:sz="0" w:space="0" w:color="auto"/>
                <w:right w:val="none" w:sz="0" w:space="0" w:color="auto"/>
              </w:divBdr>
            </w:div>
            <w:div w:id="1423061290">
              <w:marLeft w:val="0"/>
              <w:marRight w:val="0"/>
              <w:marTop w:val="0"/>
              <w:marBottom w:val="0"/>
              <w:divBdr>
                <w:top w:val="none" w:sz="0" w:space="0" w:color="auto"/>
                <w:left w:val="none" w:sz="0" w:space="0" w:color="auto"/>
                <w:bottom w:val="none" w:sz="0" w:space="0" w:color="auto"/>
                <w:right w:val="none" w:sz="0" w:space="0" w:color="auto"/>
              </w:divBdr>
            </w:div>
            <w:div w:id="995768682">
              <w:marLeft w:val="0"/>
              <w:marRight w:val="0"/>
              <w:marTop w:val="0"/>
              <w:marBottom w:val="0"/>
              <w:divBdr>
                <w:top w:val="none" w:sz="0" w:space="0" w:color="auto"/>
                <w:left w:val="none" w:sz="0" w:space="0" w:color="auto"/>
                <w:bottom w:val="none" w:sz="0" w:space="0" w:color="auto"/>
                <w:right w:val="none" w:sz="0" w:space="0" w:color="auto"/>
              </w:divBdr>
            </w:div>
            <w:div w:id="10148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cdc.gov/niosh/docs/94-11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cdc.gov/niosh/docs/94-1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hs.okstate.edu/training/oshaback.htm" TargetMode="External"/><Relationship Id="rId1" Type="http://schemas.openxmlformats.org/officeDocument/2006/relationships/numbering" Target="numbering.xml"/><Relationship Id="rId6" Type="http://schemas.openxmlformats.org/officeDocument/2006/relationships/hyperlink" Target="https://www.grainger.com/product/BRADY-Lifting-Poster-5WG12"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https://www.osha.gov/SLTC/etools/electricalcontractors/materials/heavy.html"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grainger.com/category/back-supports/ecatalog/N-a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Edgington</dc:creator>
  <cp:lastModifiedBy>Shawn Edgington</cp:lastModifiedBy>
  <cp:revision>1</cp:revision>
  <dcterms:created xsi:type="dcterms:W3CDTF">2017-01-25T01:34:00Z</dcterms:created>
  <dcterms:modified xsi:type="dcterms:W3CDTF">2017-01-25T01:39:00Z</dcterms:modified>
</cp:coreProperties>
</file>